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240" w:after="60" w:line="360" w:lineRule="auto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val="en-US" w:eastAsia="zh-CN"/>
        </w:rPr>
        <w:t>2023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</w:rPr>
        <w:t>年度科研计划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  <w:t>（自然科学）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</w:rPr>
        <w:t>类别</w:t>
      </w:r>
      <w:r>
        <w:rPr>
          <w:rFonts w:hint="eastAsia" w:ascii="黑体" w:hAnsi="黑体" w:eastAsia="黑体" w:cs="黑体"/>
          <w:b w:val="0"/>
          <w:bCs w:val="0"/>
          <w:color w:val="auto"/>
          <w:sz w:val="36"/>
          <w:szCs w:val="36"/>
          <w:shd w:val="clear" w:color="auto" w:fill="FFFFFF"/>
          <w:lang w:eastAsia="zh-CN"/>
        </w:rPr>
        <w:t>及要求</w:t>
      </w: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t>一、类别及要求</w:t>
      </w:r>
    </w:p>
    <w:p>
      <w:pPr>
        <w:snapToGrid w:val="0"/>
        <w:spacing w:line="360" w:lineRule="auto"/>
        <w:ind w:firstLine="600" w:firstLineChars="200"/>
        <w:outlineLvl w:val="1"/>
        <w:rPr>
          <w:rFonts w:ascii="Times New Roman" w:hAnsi="Times New Roman" w:eastAsia="仿宋" w:cs="Times New Roman"/>
          <w:color w:val="auto"/>
          <w:sz w:val="30"/>
          <w:szCs w:val="30"/>
          <w:shd w:val="clear" w:color="auto" w:fill="FFFFFF"/>
        </w:rPr>
      </w:pPr>
      <w:bookmarkStart w:id="0" w:name="_Toc112008638"/>
      <w:bookmarkStart w:id="1" w:name="_Toc112035576"/>
      <w:r>
        <w:rPr>
          <w:rFonts w:ascii="Times New Roman" w:hAnsi="仿宋" w:eastAsia="仿宋" w:cs="Times New Roman"/>
          <w:color w:val="auto"/>
          <w:sz w:val="30"/>
          <w:szCs w:val="30"/>
          <w:shd w:val="clear" w:color="auto" w:fill="FFFFFF"/>
        </w:rPr>
        <w:t>在符合省教育厅通知中各类科研计划项目编制指南的基础上，我校具体要求如下：</w:t>
      </w:r>
      <w:bookmarkEnd w:id="0"/>
      <w:bookmarkEnd w:id="1"/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2" w:name="_Toc111734716"/>
      <w:bookmarkStart w:id="3" w:name="_Toc112035577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1.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安徽省高校优秀科研创新团队</w:t>
      </w:r>
      <w:bookmarkEnd w:id="2"/>
      <w:bookmarkEnd w:id="3"/>
    </w:p>
    <w:p>
      <w:pPr>
        <w:snapToGrid w:val="0"/>
        <w:spacing w:after="120" w:line="360" w:lineRule="auto"/>
        <w:ind w:firstLine="480" w:firstLineChars="200"/>
        <w:rPr>
          <w:rFonts w:ascii="Times New Roman" w:hAnsi="Times New Roman" w:eastAsia="仿宋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说明：旨在培养和建设一批道德素质过硬、学术基础扎实、具有突出创新能力和发展潜力的科技创新群体。通过持续扶持，未来有希望获批国家级科技创新团队。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）拟立项数：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左右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）建设周期：</w:t>
      </w: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</w:rPr>
        <w:t>项目研究期限为3年，确有必要可延长至4年。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达到结题要求的可提前结题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b/>
          <w:color w:val="auto"/>
          <w:sz w:val="30"/>
          <w:szCs w:val="30"/>
        </w:rPr>
        <w:t>）人员：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不少于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人，且不超过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人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）资助经费：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200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万元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/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由学校和所在学科按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1:1比例统筹。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分两次拨付，即项目立项开始实施时和中期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合格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时分别按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和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进行拨付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申报要求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满足指南要求的基础上，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相关学院限申报1项，须依托于博士立项建设及支撑学科(含方向)、国家级培育平台进行申报。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  <w:u w:val="single"/>
          <w:lang w:val="en-US" w:eastAsia="zh-CN"/>
        </w:rPr>
        <w:t>曾获省部级及以上支持的科研创新团队，不重复申报。</w:t>
      </w:r>
    </w:p>
    <w:p>
      <w:pPr>
        <w:snapToGrid w:val="0"/>
        <w:spacing w:line="360" w:lineRule="auto"/>
        <w:ind w:firstLine="600" w:firstLineChars="200"/>
        <w:rPr>
          <w:rFonts w:hint="default" w:ascii="Times New Roman" w:hAnsi="仿宋" w:eastAsia="仿宋" w:cs="Times New Roman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  <w:u w:val="single"/>
          <w:lang w:val="en-US" w:eastAsia="zh-CN"/>
        </w:rPr>
        <w:t>曾获校级团队项目的，若获批立项，前期支持经费未达到本次立项经费额度的，补齐差额。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6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）中期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一般为项目执行第二年年末，以两年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折算进行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考核，考核合格的，拨付剩余经费；考核不合格的，暂缓后续经费资助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7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创新团队的绩效考核目标根据创新团队的人员构成和研究期限确定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8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①创新团队立项期间团队成员满足以下条件之一可直接通过结题：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主持获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级科研项目一项及以上，或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级科研项目两项及以上，或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级科研项目三项及以上，或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级科研项目五项及以上；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第一作者或第一通讯作者，且安徽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大学为第一单位发表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级科研论文两篇及以上，或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级科研论文三篇及以上；</w:t>
      </w:r>
    </w:p>
    <w:p>
      <w:pPr>
        <w:snapToGrid w:val="0"/>
        <w:spacing w:line="360" w:lineRule="auto"/>
        <w:ind w:firstLine="600" w:firstLineChars="200"/>
        <w:rPr>
          <w:rFonts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类以上科研奖励一项及以上；或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类科研奖励一项及以上，且排名第一，且安徽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大学为第一完成单位；或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类科研奖两项，且排名第一，且安徽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工程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大学为第一完成单位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；</w:t>
      </w:r>
    </w:p>
    <w:p>
      <w:pPr>
        <w:snapToGrid w:val="0"/>
        <w:spacing w:line="360" w:lineRule="auto"/>
        <w:ind w:firstLine="600" w:firstLineChars="200"/>
        <w:rPr>
          <w:rFonts w:ascii="Times New Roman" w:hAnsi="仿宋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D.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创新团队立项期间获批国家或教育部创新团队计划项目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仿宋" w:hAnsi="仿宋" w:eastAsia="仿宋" w:cs="Times New Roman"/>
          <w:b/>
          <w:bCs/>
          <w:color w:val="auto"/>
          <w:sz w:val="30"/>
          <w:szCs w:val="30"/>
        </w:rPr>
        <w:t>②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创新团队科研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创新团队负责人不少于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考核合格予以结题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0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4" w:name="_Toc112035578"/>
      <w:bookmarkStart w:id="5" w:name="_Toc111734717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2.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安徽省高校杰出青年科研项目</w:t>
      </w:r>
      <w:bookmarkEnd w:id="4"/>
      <w:bookmarkEnd w:id="5"/>
    </w:p>
    <w:p>
      <w:pPr>
        <w:snapToGrid w:val="0"/>
        <w:spacing w:after="120" w:line="360" w:lineRule="auto"/>
        <w:ind w:firstLine="480" w:firstLineChars="200"/>
        <w:rPr>
          <w:rFonts w:ascii="Times New Roman" w:hAnsi="Times New Roman" w:eastAsia="仿宋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说明：旨在挖掘、培养一批杰出青年科技才俊。通过持续扶持，未来有希望获批国家杰出青年科学基金项目。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）拟立项数：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左右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）建设周期：</w:t>
      </w: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</w:rPr>
        <w:t>项目研究期限为3年，确有必要可延长至4年。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达到结题要求的可提前结题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）资助经费：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100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万元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/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由学校和所在学科按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1:1比例统筹。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分两次拨付，即项目立项开始实施时和中期绩效考核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合格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时分别按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和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进行拨付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4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申报要求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满足指南要求的基础上，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</w:rPr>
        <w:t>相关学院限申报1项，须依托于省、校高峰学科（含学科方向）、高原学科申报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；</w:t>
      </w: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  <w:u w:val="single"/>
        </w:rPr>
        <w:t>曾获安徽省杰青的不重复申报。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）中期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一般为项目执行第二年年末，以两年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折算进行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考核，考核合格的，拨付剩余经费；考核不合格的，暂缓后续经费资助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6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的绩效考核目标根据团队的人员构成和研究期限确定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，仅考核团队排名前三人员（含负责人），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7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①杰出青年科研项目在研期间满足以下条件之一可直接通过结题：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获国家杰出青年科学基金项目资助；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级以上科研论文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篇；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项及以上，且排名前三；或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项，且排名第一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②杰出青年科研项目科研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未达到直接通过结题条件的，进行科研分值考核，仅考核团队排名前三人员（含负责人）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完成任务书目标，且杰青项目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0" w:firstLineChars="200"/>
        <w:rPr>
          <w:rFonts w:ascii="Times New Roman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6" w:name="_Toc112035579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3.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安徽省高校优秀青年科研项目</w:t>
      </w:r>
      <w:bookmarkEnd w:id="6"/>
    </w:p>
    <w:p>
      <w:pPr>
        <w:snapToGrid w:val="0"/>
        <w:spacing w:after="120" w:line="360" w:lineRule="auto"/>
        <w:ind w:firstLine="480" w:firstLineChars="200"/>
        <w:rPr>
          <w:rFonts w:ascii="Times New Roman" w:hAnsi="Times New Roman" w:eastAsia="仿宋" w:cs="Times New Roman"/>
          <w:color w:val="auto"/>
          <w:sz w:val="24"/>
          <w:szCs w:val="24"/>
          <w:shd w:val="clear" w:color="auto" w:fill="FFFFFF"/>
        </w:rPr>
      </w:pP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说明：旨在引导高校充分重视人才梯队、人才库建设，在前沿领域、重点方向、学科交叉等方面重点布局，为提升我省自主创新能力提供知识基础、人才储备和发展动力。通过持续扶持，未来有希望获批国家优秀青年科学基金项目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）拟立项数：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6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左右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）建设周期：</w:t>
      </w: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</w:rPr>
        <w:t>项目研究期限为3年，确有必要可延长至4年。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达到结题要求的可提前结题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）资助经费：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万元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/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由学校和所在学科按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1:1比例统筹。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分两次拨付，即项目立项开始实施时和中期绩效考核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合格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时分别按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和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50%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进行拨付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val="en-US" w:eastAsia="zh-CN"/>
        </w:rPr>
        <w:t>4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申报要求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满足指南要求的基础上，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</w:rPr>
        <w:t>各学院限申报1项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u w:val="single"/>
        </w:rPr>
        <w:t>曾获安徽省杰青、优青的不重复申报。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）中期考核：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一般为项目执行第二年年末，以两年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折算进行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绩效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考核，考核合格的，拨付剩余经费；考核不合格的，暂缓后续经费资助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6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的绩效考核目标根据团队的人员构成和研究期限确定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，仅考核团队排名前三人员（含负责人），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具体为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：优青项目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hint="eastAsia" w:ascii="Times New Roman" w:hAnsi="Times New Roman" w:eastAsia="仿宋" w:cs="Times New Roman"/>
          <w:b/>
          <w:bCs/>
          <w:color w:val="auto"/>
          <w:sz w:val="30"/>
          <w:szCs w:val="30"/>
          <w:lang w:val="en-US" w:eastAsia="zh-CN"/>
        </w:rPr>
        <w:t>7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）结题条件：</w:t>
      </w:r>
    </w:p>
    <w:p>
      <w:pPr>
        <w:snapToGrid w:val="0"/>
        <w:spacing w:line="360" w:lineRule="auto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①优秀青年科研项目在研期间满足以下条件之一可直接通过结题：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A.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获国家优秀青年科学基金项目资助；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B.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级科研项目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项，且发表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级以上科研论文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篇；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Times New Roman" w:eastAsia="仿宋" w:cs="Times New Roman"/>
          <w:color w:val="auto"/>
          <w:sz w:val="30"/>
          <w:szCs w:val="30"/>
        </w:rPr>
        <w:t>C.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获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类科研奖励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项及以上，且排名前四；或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类科研奖励一项，且排名前二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snapToGrid w:val="0"/>
        <w:spacing w:line="360" w:lineRule="auto"/>
        <w:ind w:firstLine="602" w:firstLineChars="200"/>
        <w:rPr>
          <w:rFonts w:hint="eastAsia" w:ascii="Times New Roman" w:hAnsi="仿宋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②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优秀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青年科研项目科研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分值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考核：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未达到直接通过结题条件的，进行科研分值考核，仅考核团队排名前三人员（含负责人）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完成任务书目标，且优青项目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负责人不少于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中具有正高级职称的人员不低于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具有副高级职称的人员不低于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、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其他人员不低于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/年。团队整体年均考核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按照如下方式计算：年均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=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2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10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*正高级人数+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5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*副高级人数+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*其他人员人数。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备注：其中正高级、副高级和其他人员人数为去除团队负责人以外的人数。</w:t>
      </w:r>
    </w:p>
    <w:p>
      <w:pPr>
        <w:snapToGrid w:val="0"/>
        <w:spacing w:line="360" w:lineRule="auto"/>
        <w:ind w:firstLine="600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2" w:firstLineChars="200"/>
        <w:outlineLvl w:val="1"/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</w:pPr>
      <w:bookmarkStart w:id="7" w:name="_Toc112035580"/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4.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安徽省高校重点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  <w:shd w:val="clear" w:color="auto" w:fill="FFFFFF"/>
        </w:rPr>
        <w:t>/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</w:rPr>
        <w:t>重大科研项目</w:t>
      </w:r>
      <w:bookmarkEnd w:id="7"/>
    </w:p>
    <w:p>
      <w:pPr>
        <w:snapToGrid w:val="0"/>
        <w:spacing w:after="120" w:line="360" w:lineRule="auto"/>
        <w:ind w:firstLine="480" w:firstLineChars="200"/>
        <w:rPr>
          <w:rFonts w:ascii="Times New Roman" w:hAnsi="Times New Roman" w:eastAsia="仿宋" w:cs="Times New Roman"/>
          <w:b/>
          <w:bCs/>
          <w:color w:val="auto"/>
          <w:sz w:val="24"/>
          <w:szCs w:val="24"/>
          <w:shd w:val="clear" w:color="auto" w:fill="FFFFFF"/>
        </w:rPr>
      </w:pP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说明：旨在以解决重点领域、关键环节和科技前沿需求为目标，聚焦</w:t>
      </w:r>
      <w:r>
        <w:rPr>
          <w:rFonts w:ascii="Times New Roman" w:hAnsi="Times New Roman" w:eastAsia="仿宋" w:cs="Times New Roman"/>
          <w:color w:val="auto"/>
          <w:sz w:val="24"/>
          <w:szCs w:val="24"/>
          <w:shd w:val="clear" w:color="auto" w:fill="FFFFFF"/>
        </w:rPr>
        <w:t>“</w:t>
      </w: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四基</w:t>
      </w:r>
      <w:r>
        <w:rPr>
          <w:rFonts w:ascii="Times New Roman" w:hAnsi="Times New Roman" w:eastAsia="仿宋" w:cs="Times New Roman"/>
          <w:color w:val="auto"/>
          <w:sz w:val="24"/>
          <w:szCs w:val="24"/>
          <w:shd w:val="clear" w:color="auto" w:fill="FFFFFF"/>
        </w:rPr>
        <w:t>”</w:t>
      </w:r>
      <w:r>
        <w:rPr>
          <w:rFonts w:ascii="Times New Roman" w:hAnsi="仿宋" w:eastAsia="仿宋" w:cs="Times New Roman"/>
          <w:color w:val="auto"/>
          <w:sz w:val="24"/>
          <w:szCs w:val="24"/>
          <w:shd w:val="clear" w:color="auto" w:fill="FFFFFF"/>
        </w:rPr>
        <w:t>（核心基础零部件、关键基础材料、先进基础工艺和软件、产业技术基础）突破和应用，哲学社会科学领域重大理论与实践问题，社会关注的热点、难点、堵点问题，发挥优势学科专业作用，管理科研工作者开展探索。企业委托开发和科技成果转化项目可以重点列入</w:t>
      </w:r>
      <w:r>
        <w:rPr>
          <w:rFonts w:hint="eastAsia" w:ascii="Times New Roman" w:hAnsi="仿宋" w:eastAsia="仿宋" w:cs="Times New Roman"/>
          <w:color w:val="auto"/>
          <w:sz w:val="24"/>
          <w:szCs w:val="24"/>
          <w:shd w:val="clear" w:color="auto" w:fill="FFFFFF"/>
        </w:rPr>
        <w:t>，</w:t>
      </w:r>
      <w:r>
        <w:rPr>
          <w:rFonts w:hint="eastAsia"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其中</w:t>
      </w:r>
      <w:r>
        <w:rPr>
          <w:rFonts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40周岁以下</w:t>
      </w:r>
      <w:r>
        <w:rPr>
          <w:rFonts w:hint="eastAsia"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[198</w:t>
      </w:r>
      <w:r>
        <w:rPr>
          <w:rFonts w:hint="eastAsia"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  <w:lang w:val="en-US" w:eastAsia="zh-CN"/>
        </w:rPr>
        <w:t>3</w:t>
      </w:r>
      <w:r>
        <w:rPr>
          <w:rFonts w:hint="eastAsia"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年1月1日（含）以后出生]</w:t>
      </w:r>
      <w:r>
        <w:rPr>
          <w:rFonts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的项目承担人比例</w:t>
      </w:r>
      <w:r>
        <w:rPr>
          <w:rFonts w:hint="eastAsia"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原则上</w:t>
      </w:r>
      <w:r>
        <w:rPr>
          <w:rFonts w:ascii="Times New Roman" w:hAnsi="仿宋" w:eastAsia="仿宋" w:cs="Times New Roman"/>
          <w:b/>
          <w:bCs/>
          <w:color w:val="auto"/>
          <w:sz w:val="24"/>
          <w:szCs w:val="24"/>
          <w:u w:val="single"/>
          <w:shd w:val="clear" w:color="auto" w:fill="FFFFFF"/>
        </w:rPr>
        <w:t>不低于70%。</w:t>
      </w:r>
    </w:p>
    <w:p>
      <w:pPr>
        <w:adjustRightInd w:val="0"/>
        <w:snapToGrid w:val="0"/>
        <w:spacing w:line="560" w:lineRule="exact"/>
        <w:ind w:firstLine="602" w:firstLineChars="200"/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  <w:lang w:eastAsia="zh-CN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1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）拟立项数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及申报要求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：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00" w:firstLineChars="200"/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</w:pPr>
      <w:r>
        <w:rPr>
          <w:rFonts w:ascii="Times New Roman" w:hAnsi="仿宋" w:eastAsia="仿宋" w:cs="Times New Roman"/>
          <w:color w:val="auto"/>
          <w:sz w:val="30"/>
          <w:szCs w:val="30"/>
        </w:rPr>
        <w:t>重大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项目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5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左右。满足指南要求的基础上，</w:t>
      </w: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lang w:eastAsia="zh-CN"/>
        </w:rPr>
        <w:t>相关学院依托博士立项支撑学科或省部级科研平台申报，限申报1项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00" w:firstLineChars="200"/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</w:pPr>
      <w:r>
        <w:rPr>
          <w:rFonts w:ascii="Times New Roman" w:hAnsi="仿宋" w:eastAsia="仿宋" w:cs="Times New Roman"/>
          <w:color w:val="auto"/>
          <w:sz w:val="30"/>
          <w:szCs w:val="30"/>
        </w:rPr>
        <w:t>重点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项目由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各学院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在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  <w:t>满足指南要求的基础上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限额申报，学校审定。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  <w:u w:val="single"/>
          <w:lang w:eastAsia="zh-CN"/>
        </w:rPr>
      </w:pP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  <w:u w:val="single"/>
          <w:lang w:eastAsia="zh-CN"/>
        </w:rPr>
        <w:t>重大项目、重点项目均有限项申报要求，详见通知。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leftChars="200"/>
        <w:rPr>
          <w:rFonts w:hint="default" w:ascii="Times New Roman" w:hAnsi="仿宋" w:eastAsia="仿宋" w:cs="Times New Roman"/>
          <w:b/>
          <w:bCs/>
          <w:color w:val="auto"/>
          <w:sz w:val="30"/>
          <w:szCs w:val="30"/>
          <w:u w:val="none"/>
          <w:lang w:val="en-US" w:eastAsia="zh-CN"/>
        </w:rPr>
      </w:pPr>
      <w:bookmarkStart w:id="9" w:name="_GoBack"/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u w:val="none"/>
          <w:lang w:val="en-US" w:eastAsia="zh-CN"/>
        </w:rPr>
        <w:t>各学院在不超过学校建议推荐指标的前提下，根据本学院/学科经费实际情况确定拟推荐项目数。</w:t>
      </w:r>
    </w:p>
    <w:bookmarkEnd w:id="9"/>
    <w:p>
      <w:pPr>
        <w:adjustRightInd w:val="0"/>
        <w:snapToGrid w:val="0"/>
        <w:spacing w:line="560" w:lineRule="exact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2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）建设周期：</w:t>
      </w:r>
      <w:r>
        <w:rPr>
          <w:rFonts w:hint="eastAsia" w:ascii="Times New Roman" w:hAnsi="仿宋" w:eastAsia="仿宋" w:cs="Times New Roman"/>
          <w:b w:val="0"/>
          <w:bCs w:val="0"/>
          <w:color w:val="auto"/>
          <w:sz w:val="30"/>
          <w:szCs w:val="30"/>
        </w:rPr>
        <w:t>一般不超过2年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。达到结题要求的可提前结题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Times New Roman" w:hAnsi="Times New Roman" w:eastAsia="仿宋" w:cs="Times New Roman"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3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）资助经费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：重大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20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万元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/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项，重点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万元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/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项；一次性拨付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。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由所在学科建设经费负责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02" w:firstLineChars="200"/>
        <w:rPr>
          <w:rFonts w:ascii="仿宋" w:hAnsi="仿宋" w:eastAsia="仿宋" w:cs="Times New Roman"/>
          <w:b/>
          <w:bCs/>
          <w:color w:val="auto"/>
          <w:sz w:val="30"/>
          <w:szCs w:val="30"/>
        </w:rPr>
      </w:pP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（</w:t>
      </w:r>
      <w:r>
        <w:rPr>
          <w:rFonts w:ascii="Times New Roman" w:hAnsi="Times New Roman" w:eastAsia="仿宋" w:cs="Times New Roman"/>
          <w:b/>
          <w:bCs/>
          <w:color w:val="auto"/>
          <w:sz w:val="30"/>
          <w:szCs w:val="30"/>
        </w:rPr>
        <w:t>4</w:t>
      </w:r>
      <w:r>
        <w:rPr>
          <w:rFonts w:ascii="Times New Roman" w:hAnsi="仿宋" w:eastAsia="仿宋" w:cs="Times New Roman"/>
          <w:b/>
          <w:bCs/>
          <w:color w:val="auto"/>
          <w:sz w:val="30"/>
          <w:szCs w:val="30"/>
        </w:rPr>
        <w:t>）绩效目标考核：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重大项目参照任务书目标，其中项目完成科研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总分值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&gt;3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分值仅统计团队排名前三人员（含负责人），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且负责人不少于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1/2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  <w:t>、其他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；重点项目参照任务书目标，其中项目完成科研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总分值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&gt;2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0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分值仅统计团队排名前三人员（含负责人），</w:t>
      </w:r>
      <w:r>
        <w:rPr>
          <w:rFonts w:ascii="Times New Roman" w:hAnsi="仿宋" w:eastAsia="仿宋" w:cs="Times New Roman"/>
          <w:color w:val="auto"/>
          <w:sz w:val="30"/>
          <w:szCs w:val="30"/>
        </w:rPr>
        <w:t>且负责人不少于</w:t>
      </w:r>
      <w:r>
        <w:rPr>
          <w:rFonts w:ascii="Times New Roman" w:hAnsi="Times New Roman" w:eastAsia="仿宋" w:cs="Times New Roman"/>
          <w:color w:val="auto"/>
          <w:sz w:val="30"/>
          <w:szCs w:val="30"/>
        </w:rPr>
        <w:t>1/2</w:t>
      </w:r>
      <w:r>
        <w:rPr>
          <w:rFonts w:hint="eastAsia" w:ascii="Times New Roman" w:hAnsi="Times New Roman" w:eastAsia="仿宋" w:cs="Times New Roman"/>
          <w:color w:val="auto"/>
          <w:sz w:val="30"/>
          <w:szCs w:val="30"/>
          <w:lang w:eastAsia="zh-CN"/>
        </w:rPr>
        <w:t>、其他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被考核成员分值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val="en-US" w:eastAsia="zh-CN"/>
        </w:rPr>
        <w:t>&gt;0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，</w:t>
      </w:r>
      <w:r>
        <w:rPr>
          <w:rFonts w:hint="eastAsia" w:ascii="Times New Roman" w:hAnsi="仿宋" w:eastAsia="仿宋" w:cs="Times New Roman"/>
          <w:color w:val="auto"/>
          <w:sz w:val="30"/>
          <w:szCs w:val="30"/>
          <w:lang w:eastAsia="zh-CN"/>
        </w:rPr>
        <w:t>分值</w:t>
      </w:r>
      <w:r>
        <w:rPr>
          <w:rFonts w:hint="eastAsia" w:ascii="Times New Roman" w:hAnsi="仿宋" w:eastAsia="仿宋" w:cs="Times New Roman"/>
          <w:color w:val="auto"/>
          <w:sz w:val="30"/>
          <w:szCs w:val="30"/>
        </w:rPr>
        <w:t>计算办法参照附录。</w:t>
      </w:r>
    </w:p>
    <w:p>
      <w:pPr>
        <w:snapToGrid w:val="0"/>
        <w:spacing w:line="360" w:lineRule="auto"/>
        <w:ind w:firstLine="600" w:firstLineChars="200"/>
        <w:rPr>
          <w:rFonts w:ascii="仿宋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" w:hAnsi="仿宋" w:eastAsia="仿宋" w:cs="Times New Roman"/>
          <w:color w:val="auto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" w:hAnsi="仿宋" w:eastAsia="仿宋" w:cs="Times New Roman"/>
          <w:color w:val="auto"/>
          <w:sz w:val="30"/>
          <w:szCs w:val="30"/>
        </w:rPr>
        <w:sectPr>
          <w:footerReference r:id="rId3" w:type="default"/>
          <w:pgSz w:w="11906" w:h="16838"/>
          <w:pgMar w:top="1418" w:right="1588" w:bottom="1418" w:left="1588" w:header="851" w:footer="992" w:gutter="0"/>
          <w:cols w:space="425" w:num="1"/>
          <w:titlePg/>
          <w:docGrid w:type="lines" w:linePitch="312" w:charSpace="0"/>
        </w:sectPr>
      </w:pP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sectPr>
          <w:type w:val="continuous"/>
          <w:pgSz w:w="11906" w:h="16838" w:orient="landscape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napToGrid w:val="0"/>
        <w:spacing w:line="360" w:lineRule="auto"/>
        <w:ind w:firstLine="602" w:firstLineChars="200"/>
        <w:outlineLvl w:val="1"/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</w:pPr>
      <w:r>
        <w:rPr>
          <w:rFonts w:hint="eastAsia" w:ascii="Times New Roman" w:hAnsi="仿宋" w:eastAsia="仿宋" w:cs="Times New Roman"/>
          <w:b/>
          <w:bCs/>
          <w:color w:val="auto"/>
          <w:sz w:val="30"/>
          <w:szCs w:val="30"/>
          <w:shd w:val="clear" w:color="auto" w:fill="FFFFFF"/>
          <w:lang w:eastAsia="zh-CN"/>
        </w:rPr>
        <w:t>二、附录</w:t>
      </w:r>
    </w:p>
    <w:p>
      <w:pPr>
        <w:widowControl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表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1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安徽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工程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</w:rPr>
        <w:t>大学科研项目级别分类表</w:t>
      </w:r>
    </w:p>
    <w:tbl>
      <w:tblPr>
        <w:tblStyle w:val="3"/>
        <w:tblW w:w="504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908"/>
        <w:gridCol w:w="6516"/>
        <w:gridCol w:w="4752"/>
        <w:gridCol w:w="1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294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项目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类别</w:t>
            </w:r>
          </w:p>
        </w:tc>
        <w:tc>
          <w:tcPr>
            <w:tcW w:w="30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科研</w:t>
            </w:r>
          </w:p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4402" w:type="pct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项目来源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94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2" w:type="pct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749" w:type="pct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eastAsia="zh-CN"/>
              </w:rPr>
              <w:t>纵向</w:t>
            </w: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科研项目</w:t>
            </w:r>
          </w:p>
        </w:tc>
        <w:tc>
          <w:tcPr>
            <w:tcW w:w="653" w:type="pct"/>
            <w:vMerge w:val="restart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eastAsia="zh-CN"/>
              </w:rPr>
              <w:t>横向项目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科技成果转化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9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30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168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自然科学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人文社科</w:t>
            </w:r>
          </w:p>
        </w:tc>
        <w:tc>
          <w:tcPr>
            <w:tcW w:w="65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8" w:hRule="atLeast"/>
        </w:trPr>
        <w:tc>
          <w:tcPr>
            <w:tcW w:w="294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1级</w:t>
            </w:r>
          </w:p>
        </w:tc>
        <w:tc>
          <w:tcPr>
            <w:tcW w:w="302" w:type="pc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200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1.国家科技重大专项课题。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2.国家重点研发计划项目课题。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3.国家自然科学基金重大项目。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4.国家自然科学基金杰青项目。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5.国家自然科学基金创新研究群体项目。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6.国家自然科学基金基础科学中心项目。</w:t>
            </w:r>
          </w:p>
          <w:p>
            <w:pPr>
              <w:spacing w:line="360" w:lineRule="exact"/>
              <w:rPr>
                <w:rFonts w:ascii="仿宋_GB2312" w:hAnsi="宋体" w:eastAsia="仿宋_GB2312" w:cs="Arial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7.国家重大科技专项子课题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国家重点研发计划项目子课题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国防或军队重要科研项目子课题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、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国家技术创新引导专项基金和人才专项，</w:t>
            </w:r>
            <w:r>
              <w:rPr>
                <w:rFonts w:hint="eastAsia" w:ascii="仿宋_GB2312" w:hAnsi="宋体" w:eastAsia="仿宋_GB2312" w:cs="Arial"/>
                <w:color w:val="auto"/>
                <w:kern w:val="0"/>
                <w:sz w:val="28"/>
                <w:szCs w:val="28"/>
              </w:rPr>
              <w:t>且到账经费500万元及以上。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1.国家社科基金重点、重大项目。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2.国家软科学重大项目。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3.教育部哲学社会科学研究重大课题。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4.高等学校全国优秀博士学位论文作者专项资金。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单项到校经费达到800万元及以上。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1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2级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2.国家自然科学基金优秀青年科学基金项目。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子课题、国家重点研发计划项目子课题、国防或军队重要科研项目、国家自然科学基金重大项目子课题、国家技术创新引导专项基金课题和人才专项、国家部委委托项目，且到账经费300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1.国家社科基金面上项目。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2.国家软科学研究计划重点项目。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3.霍英东教育基金会高等院校青年教师基金。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4.教育部新世纪优秀人才支持计划。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5.国家部委委托项目，且到账经费50万元及以上。</w:t>
            </w:r>
          </w:p>
        </w:tc>
        <w:tc>
          <w:tcPr>
            <w:tcW w:w="653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单项到校经费达到500万元及以上。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8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3级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1.国家自然科学基金项目（面上项目、地区基金、联合基金项目、国际（地区）合作研究项目）。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大科技专项子课题、国家重点研发计划项目子课题、国防或军队重要科研项目子课题、国家自然科学基金重大（重点）项目子课题、火炬计划、国家重点新产品计划、星火计划、农业科技成果转化资金支持项目、国家部委委托项目，且到账经费200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1.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教育部哲学社会科学研究重大课题、国家社科基金重大项目子课题。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2.国家社科基金一般项目或青年项目。</w:t>
            </w:r>
          </w:p>
          <w:p>
            <w:pPr>
              <w:spacing w:line="360" w:lineRule="exact"/>
              <w:rPr>
                <w:rFonts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3.国家软科学研究计划出版项目或面上项目。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2.省部级委托专项(招标)课题(研究经费30万以上)。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单项到校经费达到300万及以上。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2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4级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ascii="仿宋_GB2312" w:hAnsi="宋体" w:eastAsia="仿宋_GB2312" w:cs="宋体"/>
                <w:bCs/>
                <w:color w:val="auto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宋体" w:eastAsia="仿宋_GB2312" w:cs="宋体"/>
                <w:bCs/>
                <w:color w:val="auto"/>
                <w:kern w:val="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21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1.国家自然科学基金项目（含青年基金、主任基金、国际（地区）合作交流项目及专项项目）。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重大科技专项子课题、国家重点研发计划项目子课题、国防或军队重要科研项目子课题、国家自然科学基金重大（重点）项目子课题、火炬计划、国家重点新产品计划、星火计划、农业科技成果转化资金支持项目、国家部委委托项目，且到账经费100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1.国家社科基金重点项目子课题。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2.教育部人文社科重点项目。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3.国家部委委托项目，且到账经费20万元及以上。</w:t>
            </w: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单项到校经费达到200万及以上。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5级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25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1.省重大科技专项。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2.省杰出青年科学基金项目。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3.国家重大科技专项任务、国家重点研发计划项目任务、国防或军队重要科研项目任务、国家自然科学基金重大（重点）项目子课题，且到账经费50万元及以上。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4.国家部委或省级委托专项课题，且到账经费80万元及以上。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1.教育部人文社会科学一般、专项研究项目。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2.国家体育总局重点科研项目。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3.省学术技术带头人（科研类）。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4.省哲学社会科学规划重大项目。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5.省软科学研究计划项目。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6.省社科联社会科学创新发展研究课题重大研究项目。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7.国家社科基金重大项目任务、国家部委或省级委托专项课题，且到账经费15万元及以上。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单项到校经费达到100万及以上。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6级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1.教育部科学技术研究项目。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2.省重点研究与开发计划项目。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3.省平台与人才专项、省学术技术带头人（科研类）。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4.省创新环境与科技管理保障项目、省协同创新研究项目。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5.省优秀青年科技基金、省自然科学基金重点项目。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6.省学科建设专项。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7.安徽省115创新团队项目。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8.国家重大科技专项任务、国家重点研发计划项目任务、国防或军队重要科研项目任务、国家自然科学基金重大（重点）项目子课题，且到账经费30万元及以上。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9.国家部委或省级委托专项课题，且到账经费50万元及以上。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1.省社科联社会科学创新发展研究课题重点研究项目。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2.省哲学社会科学规划重点项目。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3.国家社科基金重大项目任务、国家部委或省级委托专项课题，且到账经费10万元及以上。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Arial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单项到校经费达到80万及以上。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1" w:hRule="atLeast"/>
        </w:trPr>
        <w:tc>
          <w:tcPr>
            <w:tcW w:w="294" w:type="pc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7级</w:t>
            </w:r>
          </w:p>
        </w:tc>
        <w:tc>
          <w:tcPr>
            <w:tcW w:w="302" w:type="pct"/>
            <w:tcBorders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15</w:t>
            </w:r>
          </w:p>
        </w:tc>
        <w:tc>
          <w:tcPr>
            <w:tcW w:w="2168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1.省自然科学基金面上项目。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2.省教育厅自然科学研究重大项目。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3.国家重大科技专项任务、国家重点研发计划项目任务、国防或军队重要科研项目任务、国家自然科学基金重大（重点）项目子课题，且到账经费20万元及以上。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4.国家部委或省级委托专项课题，且到账经费20万元及以上。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5.省直厅局部门委托专项课题，且到账经费30万元及以上。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1.省哲学社会科学规划项目。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2.省教育厅人文社科研究重点项目。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3.省领导圈定课题。4.省社科联社会科学创新发展研究课题攻关研究项目。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5.国家体育总局一般项目。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6.国家部委或省级委托专项课题。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7.省教育厅优秀拔尖人才培育资助重点项目（高校学科拔尖人才学术资助重点项目、高校优秀青年人才支持计划重点项目）（科研类）。</w:t>
            </w:r>
          </w:p>
        </w:tc>
        <w:tc>
          <w:tcPr>
            <w:tcW w:w="65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单项到校经费达到50万及以上。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29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color w:val="auto"/>
                <w:kern w:val="0"/>
                <w:sz w:val="28"/>
                <w:szCs w:val="28"/>
              </w:rPr>
              <w:t>8级</w:t>
            </w:r>
          </w:p>
        </w:tc>
        <w:tc>
          <w:tcPr>
            <w:tcW w:w="30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2168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1.教育部留学回国人员科研启动基金项目。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2.高校博士学科点专项科研基金（新教师基金课题）项目。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3.中国博士后科学基金项目。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4.创新型省份专项项目。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5.省自然科学基金青年项目。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.省教育厅优秀拔尖人才培育资助重点项目（高校学科拔尖人才学术资助重点项目、高校优秀青年人才支持计划重点项目）（科研类）。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.国家其他部委或省级委托专项课题。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.国家重点实验室和国家工程（技术）研究中心开放基金项目，且到账经费5万元及以上。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.国家重大科技专项任务、国家重点研发计划项目任务、国防或军队重要科研项目任务、国家自然科学基金项目子课题、省重大科技专项子课题，且到账经费10万元及以上。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.省直厅局部门委托专项课题，且到账经费20万元及以上。</w:t>
            </w:r>
          </w:p>
        </w:tc>
        <w:tc>
          <w:tcPr>
            <w:tcW w:w="15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1.国家社科基金重大项目任务、国家社科基金任务，且到账经费5万元及以上。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2.省直厅局部门委托专项课题，且到账经费10万元及以上。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3.教育厅人文社科研究基地重点项目，且到账经费2万元及以上。</w:t>
            </w:r>
          </w:p>
          <w:p>
            <w:pPr>
              <w:spacing w:line="360" w:lineRule="exact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单项到校经费达到30万及以上。</w:t>
            </w:r>
          </w:p>
        </w:tc>
      </w:tr>
    </w:tbl>
    <w:p>
      <w:pPr>
        <w:widowControl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</w:p>
    <w:p>
      <w:pPr>
        <w:snapToGrid/>
        <w:spacing w:line="240" w:lineRule="auto"/>
        <w:rPr>
          <w:rFonts w:ascii="黑体" w:hAnsi="黑体" w:eastAsia="黑体" w:cs="仿宋_GB2312"/>
          <w:color w:val="auto"/>
          <w:sz w:val="24"/>
        </w:rPr>
      </w:pPr>
      <w:r>
        <w:rPr>
          <w:rFonts w:ascii="黑体" w:hAnsi="黑体" w:eastAsia="黑体" w:cs="仿宋_GB2312"/>
          <w:color w:val="auto"/>
          <w:sz w:val="24"/>
        </w:rPr>
        <w:br w:type="page"/>
      </w:r>
    </w:p>
    <w:p>
      <w:pPr>
        <w:snapToGrid w:val="0"/>
        <w:spacing w:line="400" w:lineRule="exact"/>
        <w:jc w:val="center"/>
        <w:rPr>
          <w:rFonts w:ascii="Calibri" w:hAnsi="Calibri" w:eastAsia="宋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表</w:t>
      </w:r>
      <w:r>
        <w:rPr>
          <w:rFonts w:ascii="黑体" w:hAnsi="黑体" w:eastAsia="黑体" w:cs="仿宋_GB2312"/>
          <w:color w:val="auto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安徽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大学科研论文级别分类表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"/>
        <w:gridCol w:w="6455"/>
        <w:gridCol w:w="1114"/>
        <w:gridCol w:w="6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级别</w:t>
            </w:r>
          </w:p>
        </w:tc>
        <w:tc>
          <w:tcPr>
            <w:tcW w:w="2167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等级</w:t>
            </w:r>
          </w:p>
        </w:tc>
        <w:tc>
          <w:tcPr>
            <w:tcW w:w="37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2105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认定说明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1级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《Science》《Nature》《Cell》期刊论文。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500</w:t>
            </w:r>
          </w:p>
        </w:tc>
        <w:tc>
          <w:tcPr>
            <w:tcW w:w="2105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（1）SCI分区按照中国科学院文献情报中心上一年度公布的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大类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分区表进行。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（2）一篇论文同时被多种索引收录，按最高标准计算。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（3）只计算论文第一作者（我校为第一单位）论文。教师指导的本校学生为第一作者，导师为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通讯作者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时，按照第一作者计算导师科研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2级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《Science》子刊、《Nature》子刊、《Cell》子刊论文。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3级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ESI期刊论文、《中国科学》《科学通报》《中国社会科学》。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4级</w:t>
            </w:r>
          </w:p>
        </w:tc>
        <w:tc>
          <w:tcPr>
            <w:tcW w:w="2167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SCI一区收录期刊论文、SSCI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一区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收录期刊论文、A&amp;HCI收录期刊论文。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5级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SCI二区收录期刊论文，SSCI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二区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CSSCI收录期刊论文，光明日报（理论版），人民日报（理论版），人大复印资料。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6级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SCI三区、四区收录期刊论文，SSCI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三区、四区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CSSCI扩展收录期刊论文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，人文社会科学学科A类、B类中文期刊和理工学科A类中文期刊目录，北核（社科类）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54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7级</w:t>
            </w:r>
          </w:p>
        </w:tc>
        <w:tc>
          <w:tcPr>
            <w:tcW w:w="2167" w:type="pct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CSCD（C）、EI收录的期刊论文，安徽日报（理论版）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，大学学报（社科类）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</w:t>
            </w:r>
          </w:p>
        </w:tc>
        <w:tc>
          <w:tcPr>
            <w:tcW w:w="374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105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snapToGrid w:val="0"/>
        <w:spacing w:line="400" w:lineRule="exact"/>
        <w:jc w:val="center"/>
        <w:rPr>
          <w:rFonts w:ascii="黑体" w:hAnsi="黑体" w:eastAsia="黑体" w:cs="仿宋_GB2312"/>
          <w:color w:val="auto"/>
          <w:sz w:val="32"/>
          <w:szCs w:val="32"/>
        </w:rPr>
      </w:pPr>
      <w:bookmarkStart w:id="8" w:name="_Hlk71580090"/>
    </w:p>
    <w:p>
      <w:pPr>
        <w:snapToGrid w:val="0"/>
        <w:spacing w:line="400" w:lineRule="exact"/>
        <w:jc w:val="center"/>
        <w:rPr>
          <w:rFonts w:ascii="黑体" w:hAnsi="黑体" w:eastAsia="黑体" w:cs="仿宋_GB2312"/>
          <w:color w:val="auto"/>
          <w:sz w:val="32"/>
          <w:szCs w:val="32"/>
        </w:rPr>
      </w:pPr>
    </w:p>
    <w:p>
      <w:pPr>
        <w:snapToGrid/>
        <w:spacing w:line="240" w:lineRule="auto"/>
        <w:jc w:val="left"/>
        <w:rPr>
          <w:rFonts w:hint="eastAsia" w:ascii="黑体" w:hAnsi="黑体" w:eastAsia="黑体" w:cs="仿宋_GB2312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br w:type="page"/>
      </w:r>
    </w:p>
    <w:p>
      <w:pPr>
        <w:snapToGrid w:val="0"/>
        <w:spacing w:line="400" w:lineRule="exact"/>
        <w:jc w:val="center"/>
        <w:rPr>
          <w:rFonts w:ascii="Calibri" w:hAnsi="Calibri" w:eastAsia="宋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color w:val="auto"/>
          <w:sz w:val="32"/>
          <w:szCs w:val="32"/>
        </w:rPr>
        <w:t>表</w:t>
      </w:r>
      <w:r>
        <w:rPr>
          <w:rFonts w:ascii="黑体" w:hAnsi="黑体" w:eastAsia="黑体" w:cs="仿宋_GB2312"/>
          <w:color w:val="auto"/>
          <w:sz w:val="32"/>
          <w:szCs w:val="32"/>
        </w:rPr>
        <w:t>3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安徽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工程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大学其他科研成果业绩</w:t>
      </w:r>
      <w:r>
        <w:rPr>
          <w:rFonts w:hint="eastAsia" w:ascii="黑体" w:hAnsi="黑体" w:eastAsia="黑体" w:cs="仿宋_GB2312"/>
          <w:color w:val="auto"/>
          <w:sz w:val="32"/>
          <w:szCs w:val="32"/>
          <w:lang w:eastAsia="zh-CN"/>
        </w:rPr>
        <w:t>分值</w:t>
      </w:r>
      <w:r>
        <w:rPr>
          <w:rFonts w:hint="eastAsia" w:ascii="黑体" w:hAnsi="黑体" w:eastAsia="黑体" w:cs="仿宋_GB2312"/>
          <w:color w:val="auto"/>
          <w:sz w:val="32"/>
          <w:szCs w:val="32"/>
        </w:rPr>
        <w:t>标准</w:t>
      </w:r>
    </w:p>
    <w:bookmarkEnd w:id="8"/>
    <w:tbl>
      <w:tblPr>
        <w:tblStyle w:val="3"/>
        <w:tblW w:w="50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597"/>
        <w:gridCol w:w="2131"/>
        <w:gridCol w:w="1936"/>
        <w:gridCol w:w="1105"/>
        <w:gridCol w:w="6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66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532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项目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等级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color w:val="auto"/>
                <w:sz w:val="28"/>
                <w:szCs w:val="28"/>
                <w:lang w:eastAsia="zh-CN"/>
              </w:rPr>
              <w:t>分值</w:t>
            </w:r>
          </w:p>
        </w:tc>
        <w:tc>
          <w:tcPr>
            <w:tcW w:w="2279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认定说明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eastAsia="zh-CN"/>
              </w:rPr>
              <w:t>横向项目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b/>
                <w:bCs/>
                <w:color w:val="auto"/>
                <w:sz w:val="28"/>
                <w:szCs w:val="28"/>
              </w:rPr>
              <w:t>科技成果转化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万及以上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（1）指导学生完成的，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计入指导教师。</w:t>
            </w:r>
          </w:p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（2）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1万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及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以下，不计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。</w:t>
            </w:r>
          </w:p>
          <w:p>
            <w:pPr>
              <w:snapToGri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（3）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</w:rPr>
              <w:t>横向项目及科技成果转化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完成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可以由第一完成人按照实际贡献分配。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单项到校经费达到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28"/>
                <w:szCs w:val="28"/>
              </w:rPr>
              <w:t>万及以上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5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出版著作、标准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1类：国家出版基金资助的学术著作、国家级标准。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70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（1）著作认定以著者署名后标有“著”字样为准，且有8级以上期刊论文支撑；合著排名第二、第三及以下分别按照各类著作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的30%、10%计算，译著按照相应级别出版社出版的学术著作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（2）“标准”包括标准、规范、规程、工法、导则、图集等；多单位合作主编的，我校为第一至第三主编单位的，分别按100%、80%、60%进行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计算，其余按40%计算，参编标准按25%计算。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pacing w:line="360" w:lineRule="exact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1355" w:type="pct"/>
            <w:gridSpan w:val="2"/>
            <w:vAlign w:val="center"/>
          </w:tcPr>
          <w:p>
            <w:pPr>
              <w:snapToGri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2类：国家级出版社出版的学术著作、省部级、行业标准。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466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3</w:t>
            </w:r>
          </w:p>
        </w:tc>
        <w:tc>
          <w:tcPr>
            <w:tcW w:w="532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专利授权</w:t>
            </w:r>
          </w:p>
        </w:tc>
        <w:tc>
          <w:tcPr>
            <w:tcW w:w="1355" w:type="pct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1类：发明专利。</w:t>
            </w:r>
          </w:p>
        </w:tc>
        <w:tc>
          <w:tcPr>
            <w:tcW w:w="368" w:type="pc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279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第一专利权人和第一发明人单位均为安徽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工程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大学。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4</w:t>
            </w:r>
          </w:p>
        </w:tc>
        <w:tc>
          <w:tcPr>
            <w:tcW w:w="532" w:type="pct"/>
            <w:vMerge w:val="restart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  <w:t>科研奖励</w:t>
            </w: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1类：国家级科学技术奖励或社会科学优秀成果奖励一等奖。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500</w:t>
            </w:r>
          </w:p>
        </w:tc>
        <w:tc>
          <w:tcPr>
            <w:tcW w:w="2279" w:type="pct"/>
            <w:vMerge w:val="restart"/>
            <w:vAlign w:val="center"/>
          </w:tcPr>
          <w:p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国家级科研成果奖励包括国家自然科学奖、国家技术发明奖、国家科技进步奖、国际科学技术合作奖、国家社会科学基金项目优秀成果奖、全国教育科学研究优秀成果奖。</w:t>
            </w:r>
          </w:p>
          <w:p>
            <w:pPr>
              <w:numPr>
                <w:ilvl w:val="-1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（2）我校为第二、第三、第四完成单位的，分别按上表中排名奖励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的50%、40%、30%计算，我校为第五及以下完成单位的，按上表中排名奖励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的20%计算。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（3）由政府公开招标、委托的调研课题或咨询报告获国家级领导人批示的，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按300计算，获省部级主要领导人批示（或省委省政府采纳）的按120计算，获省部级领导批示（或省直厅局采纳）的按40计算。我校为第一单位且个人排名为第一、第二、第三，分别按本类业绩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的50%、30%、20%计算，第四及以后的，按照10%计算。</w:t>
            </w:r>
          </w:p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（4）国家级协（学）会颁发的奖项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计算参照4类及以下奖励执行；具备国家奖推荐权的协会奖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计算参照3类及以下奖励执行。国家级协（学）会二级分会或省级协（学）会颁发的奖项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计算参照5类及以下奖励执行。（按奖项设置排列，超过6类不计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0"/>
                <w:sz w:val="28"/>
                <w:szCs w:val="28"/>
                <w:lang w:eastAsia="zh-CN"/>
              </w:rPr>
              <w:t>分值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150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其它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2类：国家级科学技术奖励或社会科学优秀成果奖励二等奖，中国发明专利金奖。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150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90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其它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b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3类：省部级科学技术奖励或社会科学优秀成果奖励一等奖。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45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第四名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第五名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其他名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10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4类：省部级科学技术奖励或社会科学优秀成果奖励二等奖。</w:t>
            </w: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第一名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60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第二名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30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第三名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20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66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532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  <w:tc>
          <w:tcPr>
            <w:tcW w:w="710" w:type="pct"/>
            <w:vMerge w:val="continue"/>
          </w:tcPr>
          <w:p>
            <w:pPr>
              <w:autoSpaceDE w:val="0"/>
              <w:autoSpaceDN w:val="0"/>
              <w:adjustRightInd w:val="0"/>
              <w:spacing w:line="360" w:lineRule="exact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645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其他名</w:t>
            </w:r>
          </w:p>
        </w:tc>
        <w:tc>
          <w:tcPr>
            <w:tcW w:w="368" w:type="pct"/>
            <w:vAlign w:val="center"/>
          </w:tcPr>
          <w:p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0"/>
                <w:sz w:val="28"/>
                <w:szCs w:val="28"/>
              </w:rPr>
              <w:t>8</w:t>
            </w:r>
          </w:p>
        </w:tc>
        <w:tc>
          <w:tcPr>
            <w:tcW w:w="2279" w:type="pct"/>
            <w:vMerge w:val="continue"/>
            <w:vAlign w:val="center"/>
          </w:tcPr>
          <w:p>
            <w:pPr>
              <w:snapToGrid w:val="0"/>
              <w:spacing w:line="36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rPr>
          <w:color w:val="auto"/>
        </w:rPr>
        <w:sectPr>
          <w:type w:val="continuous"/>
          <w:pgSz w:w="16838" w:h="11906" w:orient="landscape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rPr>
          <w:color w:val="auto"/>
        </w:rPr>
        <w:sectPr>
          <w:type w:val="continuous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color w:val="auto"/>
        </w:rPr>
      </w:pPr>
    </w:p>
    <w:sectPr>
      <w:type w:val="continuous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89129016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35</w:t>
        </w:r>
        <w:r>
          <w:rPr>
            <w:lang w:val="zh-CN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AA57"/>
    <w:multiLevelType w:val="singleLevel"/>
    <w:tmpl w:val="CE6CAA57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>
    <w:nsid w:val="1194B2BD"/>
    <w:multiLevelType w:val="singleLevel"/>
    <w:tmpl w:val="1194B2B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000000"/>
    <w:rsid w:val="0A5F77E6"/>
    <w:rsid w:val="10FD5259"/>
    <w:rsid w:val="12353631"/>
    <w:rsid w:val="14C80F44"/>
    <w:rsid w:val="14DD7E73"/>
    <w:rsid w:val="1C591786"/>
    <w:rsid w:val="22EC4374"/>
    <w:rsid w:val="291B4ED7"/>
    <w:rsid w:val="293A3BEE"/>
    <w:rsid w:val="2C4E1120"/>
    <w:rsid w:val="2E156399"/>
    <w:rsid w:val="2E9A4F1C"/>
    <w:rsid w:val="36DF1888"/>
    <w:rsid w:val="3C4E26C3"/>
    <w:rsid w:val="459B5BB1"/>
    <w:rsid w:val="49717773"/>
    <w:rsid w:val="4E9252C1"/>
    <w:rsid w:val="4EA454EA"/>
    <w:rsid w:val="4F7F3F9C"/>
    <w:rsid w:val="551E233A"/>
    <w:rsid w:val="56440D1A"/>
    <w:rsid w:val="5A000B66"/>
    <w:rsid w:val="610F187C"/>
    <w:rsid w:val="6F1E2E49"/>
    <w:rsid w:val="6F863554"/>
    <w:rsid w:val="768B2070"/>
    <w:rsid w:val="7C97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1"/>
    <w:basedOn w:val="1"/>
    <w:next w:val="1"/>
    <w:qFormat/>
    <w:uiPriority w:val="0"/>
    <w:rPr>
      <w:rFonts w:cs="仿宋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7220</Words>
  <Characters>7631</Characters>
  <Lines>0</Lines>
  <Paragraphs>0</Paragraphs>
  <TotalTime>17</TotalTime>
  <ScaleCrop>false</ScaleCrop>
  <LinksUpToDate>false</LinksUpToDate>
  <CharactersWithSpaces>7631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</dc:creator>
  <cp:lastModifiedBy>李晓莉</cp:lastModifiedBy>
  <cp:lastPrinted>2023-03-21T07:55:00Z</cp:lastPrinted>
  <dcterms:modified xsi:type="dcterms:W3CDTF">2023-03-21T10:08:01Z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47CF6E0875F841D69017A94BD36446D0</vt:lpwstr>
  </property>
</Properties>
</file>